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D22EE" w14:textId="77777777" w:rsidR="00A73897" w:rsidRDefault="00A73897">
      <w:pPr>
        <w:rPr>
          <w:sz w:val="20"/>
          <w:szCs w:val="20"/>
        </w:rPr>
      </w:pPr>
    </w:p>
    <w:tbl>
      <w:tblPr>
        <w:tblStyle w:val="a5"/>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6305"/>
      </w:tblGrid>
      <w:tr w:rsidR="00A73897" w14:paraId="1217D412" w14:textId="77777777" w:rsidTr="002F3C1F">
        <w:trPr>
          <w:trHeight w:val="420"/>
        </w:trPr>
        <w:tc>
          <w:tcPr>
            <w:tcW w:w="10055" w:type="dxa"/>
            <w:gridSpan w:val="2"/>
            <w:shd w:val="clear" w:color="auto" w:fill="auto"/>
            <w:tcMar>
              <w:top w:w="100" w:type="dxa"/>
              <w:left w:w="100" w:type="dxa"/>
              <w:bottom w:w="100" w:type="dxa"/>
              <w:right w:w="100" w:type="dxa"/>
            </w:tcMar>
          </w:tcPr>
          <w:p w14:paraId="23F1E62B" w14:textId="77777777" w:rsidR="00A73897" w:rsidRDefault="0024413B">
            <w:pPr>
              <w:widowControl w:val="0"/>
              <w:pBdr>
                <w:top w:val="nil"/>
                <w:left w:val="nil"/>
                <w:bottom w:val="nil"/>
                <w:right w:val="nil"/>
                <w:between w:val="nil"/>
              </w:pBdr>
              <w:spacing w:line="240" w:lineRule="auto"/>
              <w:rPr>
                <w:b/>
                <w:sz w:val="20"/>
                <w:szCs w:val="20"/>
              </w:rPr>
            </w:pPr>
            <w:r>
              <w:rPr>
                <w:b/>
                <w:sz w:val="20"/>
                <w:szCs w:val="20"/>
              </w:rPr>
              <w:t>Общие</w:t>
            </w:r>
          </w:p>
        </w:tc>
      </w:tr>
      <w:tr w:rsidR="00A73897" w14:paraId="29541C4F" w14:textId="77777777" w:rsidTr="002F3C1F">
        <w:tc>
          <w:tcPr>
            <w:tcW w:w="3750" w:type="dxa"/>
            <w:shd w:val="clear" w:color="auto" w:fill="auto"/>
            <w:tcMar>
              <w:top w:w="100" w:type="dxa"/>
              <w:left w:w="100" w:type="dxa"/>
              <w:bottom w:w="100" w:type="dxa"/>
              <w:right w:w="100" w:type="dxa"/>
            </w:tcMar>
          </w:tcPr>
          <w:p w14:paraId="372F5EDA" w14:textId="77777777" w:rsidR="00A73897" w:rsidRDefault="0024413B">
            <w:pPr>
              <w:widowControl w:val="0"/>
              <w:pBdr>
                <w:top w:val="nil"/>
                <w:left w:val="nil"/>
                <w:bottom w:val="nil"/>
                <w:right w:val="nil"/>
                <w:between w:val="nil"/>
              </w:pBdr>
              <w:spacing w:line="240" w:lineRule="auto"/>
              <w:rPr>
                <w:sz w:val="20"/>
                <w:szCs w:val="20"/>
              </w:rPr>
            </w:pPr>
            <w:r>
              <w:rPr>
                <w:sz w:val="20"/>
                <w:szCs w:val="20"/>
              </w:rPr>
              <w:t>В Брифе указаны: Потребительский кредит и Кредитная карта - верно ли, что МП считаем только по этим двум продуктам?</w:t>
            </w:r>
          </w:p>
        </w:tc>
        <w:tc>
          <w:tcPr>
            <w:tcW w:w="6305" w:type="dxa"/>
            <w:shd w:val="clear" w:color="auto" w:fill="auto"/>
            <w:tcMar>
              <w:top w:w="100" w:type="dxa"/>
              <w:left w:w="100" w:type="dxa"/>
              <w:bottom w:w="100" w:type="dxa"/>
              <w:right w:w="100" w:type="dxa"/>
            </w:tcMar>
          </w:tcPr>
          <w:p w14:paraId="2F56A065" w14:textId="77777777" w:rsidR="00A73897" w:rsidRPr="002F3C1F" w:rsidRDefault="002F3C1F" w:rsidP="002F3C1F">
            <w:pPr>
              <w:widowControl w:val="0"/>
              <w:tabs>
                <w:tab w:val="left" w:pos="3360"/>
              </w:tabs>
              <w:rPr>
                <w:sz w:val="20"/>
                <w:szCs w:val="20"/>
                <w:lang w:val="ru-RU"/>
              </w:rPr>
            </w:pPr>
            <w:r>
              <w:rPr>
                <w:sz w:val="20"/>
                <w:szCs w:val="20"/>
                <w:lang w:val="ru-RU"/>
              </w:rPr>
              <w:t>Всё верно, только кредитная карта и потребительский кредит</w:t>
            </w:r>
          </w:p>
        </w:tc>
      </w:tr>
      <w:tr w:rsidR="00A73897" w14:paraId="3697CB9F" w14:textId="77777777" w:rsidTr="002F3C1F">
        <w:tc>
          <w:tcPr>
            <w:tcW w:w="3750" w:type="dxa"/>
            <w:shd w:val="clear" w:color="auto" w:fill="auto"/>
            <w:tcMar>
              <w:top w:w="100" w:type="dxa"/>
              <w:left w:w="100" w:type="dxa"/>
              <w:bottom w:w="100" w:type="dxa"/>
              <w:right w:w="100" w:type="dxa"/>
            </w:tcMar>
          </w:tcPr>
          <w:p w14:paraId="1ACEBF78" w14:textId="77777777" w:rsidR="00A73897" w:rsidRPr="007F763B" w:rsidRDefault="0024413B">
            <w:pPr>
              <w:widowControl w:val="0"/>
              <w:rPr>
                <w:sz w:val="20"/>
                <w:szCs w:val="20"/>
              </w:rPr>
            </w:pPr>
            <w:r w:rsidRPr="007F763B">
              <w:rPr>
                <w:sz w:val="20"/>
                <w:szCs w:val="20"/>
              </w:rPr>
              <w:t>Конкуренты - ориентируемся на список в брифе или можем самостоятельно проанализировать и определить ближайших конкурентов?</w:t>
            </w:r>
          </w:p>
        </w:tc>
        <w:tc>
          <w:tcPr>
            <w:tcW w:w="6305" w:type="dxa"/>
            <w:shd w:val="clear" w:color="auto" w:fill="auto"/>
            <w:tcMar>
              <w:top w:w="100" w:type="dxa"/>
              <w:left w:w="100" w:type="dxa"/>
              <w:bottom w:w="100" w:type="dxa"/>
              <w:right w:w="100" w:type="dxa"/>
            </w:tcMar>
          </w:tcPr>
          <w:p w14:paraId="08941DFD" w14:textId="77777777" w:rsidR="002F3C1F" w:rsidRPr="007F763B" w:rsidRDefault="002F3C1F" w:rsidP="002F3C1F">
            <w:pPr>
              <w:widowControl w:val="0"/>
              <w:pBdr>
                <w:top w:val="nil"/>
                <w:left w:val="nil"/>
                <w:bottom w:val="nil"/>
                <w:right w:val="nil"/>
                <w:between w:val="nil"/>
              </w:pBdr>
              <w:spacing w:line="240" w:lineRule="auto"/>
              <w:ind w:right="-750"/>
              <w:rPr>
                <w:sz w:val="20"/>
                <w:szCs w:val="20"/>
                <w:lang w:val="ru-RU"/>
              </w:rPr>
            </w:pPr>
            <w:r w:rsidRPr="007F763B">
              <w:rPr>
                <w:sz w:val="20"/>
                <w:szCs w:val="20"/>
                <w:lang w:val="ru-RU"/>
              </w:rPr>
              <w:t>Можете самостоятельно проанализировать. В брифе приведен</w:t>
            </w:r>
          </w:p>
          <w:p w14:paraId="354F19A6" w14:textId="77777777" w:rsidR="00A73897" w:rsidRPr="007F763B" w:rsidRDefault="002F3C1F" w:rsidP="002F3C1F">
            <w:pPr>
              <w:widowControl w:val="0"/>
              <w:pBdr>
                <w:top w:val="nil"/>
                <w:left w:val="nil"/>
                <w:bottom w:val="nil"/>
                <w:right w:val="nil"/>
                <w:between w:val="nil"/>
              </w:pBdr>
              <w:spacing w:line="240" w:lineRule="auto"/>
              <w:ind w:right="-750"/>
              <w:rPr>
                <w:sz w:val="20"/>
                <w:szCs w:val="20"/>
                <w:lang w:val="ru-RU"/>
              </w:rPr>
            </w:pPr>
            <w:r w:rsidRPr="007F763B">
              <w:rPr>
                <w:sz w:val="20"/>
                <w:szCs w:val="20"/>
                <w:lang w:val="ru-RU"/>
              </w:rPr>
              <w:t>базовый список</w:t>
            </w:r>
          </w:p>
        </w:tc>
      </w:tr>
      <w:tr w:rsidR="00A73897" w14:paraId="5D7575CB" w14:textId="77777777" w:rsidTr="002F3C1F">
        <w:tc>
          <w:tcPr>
            <w:tcW w:w="3750" w:type="dxa"/>
            <w:shd w:val="clear" w:color="auto" w:fill="auto"/>
            <w:tcMar>
              <w:top w:w="100" w:type="dxa"/>
              <w:left w:w="100" w:type="dxa"/>
              <w:bottom w:w="100" w:type="dxa"/>
              <w:right w:w="100" w:type="dxa"/>
            </w:tcMar>
          </w:tcPr>
          <w:p w14:paraId="786B7630" w14:textId="77777777" w:rsidR="00A73897" w:rsidRPr="007F763B" w:rsidRDefault="0024413B">
            <w:pPr>
              <w:widowControl w:val="0"/>
              <w:rPr>
                <w:sz w:val="20"/>
                <w:szCs w:val="20"/>
              </w:rPr>
            </w:pPr>
            <w:r w:rsidRPr="007F763B">
              <w:rPr>
                <w:sz w:val="20"/>
                <w:szCs w:val="20"/>
              </w:rPr>
              <w:t xml:space="preserve">География - представлен не полный список городов в которых присутствует банк. С чем связано? </w:t>
            </w:r>
          </w:p>
        </w:tc>
        <w:tc>
          <w:tcPr>
            <w:tcW w:w="6305" w:type="dxa"/>
            <w:shd w:val="clear" w:color="auto" w:fill="auto"/>
            <w:tcMar>
              <w:top w:w="100" w:type="dxa"/>
              <w:left w:w="100" w:type="dxa"/>
              <w:bottom w:w="100" w:type="dxa"/>
              <w:right w:w="100" w:type="dxa"/>
            </w:tcMar>
          </w:tcPr>
          <w:p w14:paraId="4DA21110" w14:textId="77777777" w:rsidR="00A73897" w:rsidRPr="007F763B" w:rsidRDefault="002F3C1F">
            <w:pPr>
              <w:widowControl w:val="0"/>
              <w:pBdr>
                <w:top w:val="nil"/>
                <w:left w:val="nil"/>
                <w:bottom w:val="nil"/>
                <w:right w:val="nil"/>
                <w:between w:val="nil"/>
              </w:pBdr>
              <w:spacing w:line="240" w:lineRule="auto"/>
              <w:rPr>
                <w:sz w:val="20"/>
                <w:szCs w:val="20"/>
                <w:lang w:val="ru-RU"/>
              </w:rPr>
            </w:pPr>
            <w:r w:rsidRPr="007F763B">
              <w:rPr>
                <w:sz w:val="20"/>
                <w:szCs w:val="20"/>
                <w:lang w:val="ru-RU"/>
              </w:rPr>
              <w:t xml:space="preserve">В брифе указаны целевые </w:t>
            </w:r>
            <w:proofErr w:type="spellStart"/>
            <w:r w:rsidRPr="007F763B">
              <w:rPr>
                <w:sz w:val="20"/>
                <w:szCs w:val="20"/>
                <w:lang w:val="ru-RU"/>
              </w:rPr>
              <w:t>гео</w:t>
            </w:r>
            <w:proofErr w:type="spellEnd"/>
            <w:r w:rsidRPr="007F763B">
              <w:rPr>
                <w:sz w:val="20"/>
                <w:szCs w:val="20"/>
                <w:lang w:val="ru-RU"/>
              </w:rPr>
              <w:t>, на которых хотелось бы сконцентрироваться при продвижении</w:t>
            </w:r>
          </w:p>
        </w:tc>
      </w:tr>
      <w:tr w:rsidR="00A73897" w14:paraId="5A5E0BAC" w14:textId="77777777" w:rsidTr="002F3C1F">
        <w:trPr>
          <w:trHeight w:val="502"/>
        </w:trPr>
        <w:tc>
          <w:tcPr>
            <w:tcW w:w="3750" w:type="dxa"/>
            <w:shd w:val="clear" w:color="auto" w:fill="auto"/>
            <w:tcMar>
              <w:top w:w="100" w:type="dxa"/>
              <w:left w:w="100" w:type="dxa"/>
              <w:bottom w:w="100" w:type="dxa"/>
              <w:right w:w="100" w:type="dxa"/>
            </w:tcMar>
          </w:tcPr>
          <w:p w14:paraId="7E34C48F" w14:textId="77777777" w:rsidR="00A73897" w:rsidRPr="007F763B" w:rsidRDefault="0024413B">
            <w:pPr>
              <w:widowControl w:val="0"/>
              <w:rPr>
                <w:sz w:val="20"/>
                <w:szCs w:val="20"/>
              </w:rPr>
            </w:pPr>
            <w:r w:rsidRPr="007F763B">
              <w:rPr>
                <w:sz w:val="20"/>
                <w:szCs w:val="20"/>
              </w:rPr>
              <w:t>География - список актуален для обоих продуктов?</w:t>
            </w:r>
          </w:p>
        </w:tc>
        <w:tc>
          <w:tcPr>
            <w:tcW w:w="6305" w:type="dxa"/>
            <w:shd w:val="clear" w:color="auto" w:fill="auto"/>
            <w:tcMar>
              <w:top w:w="100" w:type="dxa"/>
              <w:left w:w="100" w:type="dxa"/>
              <w:bottom w:w="100" w:type="dxa"/>
              <w:right w:w="100" w:type="dxa"/>
            </w:tcMar>
          </w:tcPr>
          <w:p w14:paraId="49659DA8" w14:textId="77777777" w:rsidR="00A73897" w:rsidRPr="007F763B" w:rsidRDefault="002F3C1F">
            <w:pPr>
              <w:widowControl w:val="0"/>
              <w:pBdr>
                <w:top w:val="nil"/>
                <w:left w:val="nil"/>
                <w:bottom w:val="nil"/>
                <w:right w:val="nil"/>
                <w:between w:val="nil"/>
              </w:pBdr>
              <w:spacing w:line="240" w:lineRule="auto"/>
              <w:rPr>
                <w:sz w:val="20"/>
                <w:szCs w:val="20"/>
                <w:lang w:val="ru-RU"/>
              </w:rPr>
            </w:pPr>
            <w:r w:rsidRPr="007F763B">
              <w:rPr>
                <w:sz w:val="20"/>
                <w:szCs w:val="20"/>
                <w:lang w:val="ru-RU"/>
              </w:rPr>
              <w:t>Да</w:t>
            </w:r>
          </w:p>
        </w:tc>
      </w:tr>
      <w:tr w:rsidR="00A73897" w14:paraId="2C4BC7B2" w14:textId="77777777" w:rsidTr="002F3C1F">
        <w:tc>
          <w:tcPr>
            <w:tcW w:w="3750" w:type="dxa"/>
            <w:shd w:val="clear" w:color="auto" w:fill="auto"/>
            <w:tcMar>
              <w:top w:w="100" w:type="dxa"/>
              <w:left w:w="100" w:type="dxa"/>
              <w:bottom w:w="100" w:type="dxa"/>
              <w:right w:w="100" w:type="dxa"/>
            </w:tcMar>
          </w:tcPr>
          <w:p w14:paraId="64F2B6ED" w14:textId="7967B300" w:rsidR="00A73897" w:rsidRPr="007F763B" w:rsidRDefault="0024413B">
            <w:pPr>
              <w:widowControl w:val="0"/>
              <w:rPr>
                <w:sz w:val="20"/>
                <w:szCs w:val="20"/>
              </w:rPr>
            </w:pPr>
            <w:r w:rsidRPr="007F763B">
              <w:rPr>
                <w:sz w:val="20"/>
                <w:szCs w:val="20"/>
              </w:rPr>
              <w:t xml:space="preserve">Форма заявки включает в себя 4 шага, верно понимаем, что заявкой считается заполнение всех 4 этапов?    </w:t>
            </w:r>
            <w:r w:rsidRPr="007F763B">
              <w:rPr>
                <w:sz w:val="20"/>
                <w:szCs w:val="20"/>
              </w:rPr>
              <w:br/>
            </w:r>
            <w:r w:rsidRPr="007F763B">
              <w:rPr>
                <w:sz w:val="20"/>
                <w:szCs w:val="20"/>
              </w:rPr>
              <w:br/>
              <w:t>Если пользователь прошел не весь путь, банк пытается с ним связаться посредство</w:t>
            </w:r>
            <w:r w:rsidR="007F763B">
              <w:rPr>
                <w:sz w:val="20"/>
                <w:szCs w:val="20"/>
              </w:rPr>
              <w:t>м колл центра и довести заявку д</w:t>
            </w:r>
            <w:bookmarkStart w:id="0" w:name="_GoBack"/>
            <w:bookmarkEnd w:id="0"/>
            <w:r w:rsidRPr="007F763B">
              <w:rPr>
                <w:sz w:val="20"/>
                <w:szCs w:val="20"/>
              </w:rPr>
              <w:t>о конца? Если да, то в таком случае учитывается ли такая заявка?</w:t>
            </w:r>
          </w:p>
        </w:tc>
        <w:tc>
          <w:tcPr>
            <w:tcW w:w="6305" w:type="dxa"/>
            <w:shd w:val="clear" w:color="auto" w:fill="auto"/>
            <w:tcMar>
              <w:top w:w="100" w:type="dxa"/>
              <w:left w:w="100" w:type="dxa"/>
              <w:bottom w:w="100" w:type="dxa"/>
              <w:right w:w="100" w:type="dxa"/>
            </w:tcMar>
          </w:tcPr>
          <w:p w14:paraId="4E607C16" w14:textId="77777777" w:rsidR="00A73897" w:rsidRPr="007F763B" w:rsidRDefault="002F3C1F">
            <w:pPr>
              <w:widowControl w:val="0"/>
              <w:pBdr>
                <w:top w:val="nil"/>
                <w:left w:val="nil"/>
                <w:bottom w:val="nil"/>
                <w:right w:val="nil"/>
                <w:between w:val="nil"/>
              </w:pBdr>
              <w:spacing w:line="240" w:lineRule="auto"/>
              <w:rPr>
                <w:sz w:val="20"/>
                <w:szCs w:val="20"/>
                <w:lang w:val="ru-RU"/>
              </w:rPr>
            </w:pPr>
            <w:r w:rsidRPr="007F763B">
              <w:rPr>
                <w:sz w:val="20"/>
                <w:szCs w:val="20"/>
                <w:lang w:val="ru-RU"/>
              </w:rPr>
              <w:t>Да, всё верно. Заявкой считается прохождение всех 4х шагов.</w:t>
            </w:r>
          </w:p>
          <w:p w14:paraId="66853799" w14:textId="77777777" w:rsidR="002F3C1F" w:rsidRPr="007F763B" w:rsidRDefault="002F3C1F">
            <w:pPr>
              <w:widowControl w:val="0"/>
              <w:pBdr>
                <w:top w:val="nil"/>
                <w:left w:val="nil"/>
                <w:bottom w:val="nil"/>
                <w:right w:val="nil"/>
                <w:between w:val="nil"/>
              </w:pBdr>
              <w:spacing w:line="240" w:lineRule="auto"/>
              <w:rPr>
                <w:sz w:val="20"/>
                <w:szCs w:val="20"/>
                <w:lang w:val="ru-RU"/>
              </w:rPr>
            </w:pPr>
          </w:p>
          <w:p w14:paraId="1FB2E018" w14:textId="77777777" w:rsidR="002F3C1F" w:rsidRPr="007F763B" w:rsidRDefault="002F3C1F" w:rsidP="002F3C1F">
            <w:pPr>
              <w:widowControl w:val="0"/>
              <w:pBdr>
                <w:top w:val="nil"/>
                <w:left w:val="nil"/>
                <w:bottom w:val="nil"/>
                <w:right w:val="nil"/>
                <w:between w:val="nil"/>
              </w:pBdr>
              <w:spacing w:line="240" w:lineRule="auto"/>
              <w:rPr>
                <w:sz w:val="20"/>
                <w:szCs w:val="20"/>
                <w:lang w:val="ru-RU"/>
              </w:rPr>
            </w:pPr>
            <w:r w:rsidRPr="007F763B">
              <w:rPr>
                <w:sz w:val="20"/>
                <w:szCs w:val="20"/>
                <w:lang w:val="ru-RU"/>
              </w:rPr>
              <w:t>Да, конечно, такая заявка может засчитываться на рекламу по атрибуции, например, последнего непрямого взаимодействия.</w:t>
            </w:r>
          </w:p>
        </w:tc>
      </w:tr>
      <w:tr w:rsidR="00A73897" w14:paraId="51CBA2FE" w14:textId="77777777" w:rsidTr="002F3C1F">
        <w:trPr>
          <w:trHeight w:val="454"/>
        </w:trPr>
        <w:tc>
          <w:tcPr>
            <w:tcW w:w="3750" w:type="dxa"/>
            <w:shd w:val="clear" w:color="auto" w:fill="auto"/>
            <w:tcMar>
              <w:top w:w="100" w:type="dxa"/>
              <w:left w:w="100" w:type="dxa"/>
              <w:bottom w:w="100" w:type="dxa"/>
              <w:right w:w="100" w:type="dxa"/>
            </w:tcMar>
          </w:tcPr>
          <w:p w14:paraId="7238BC5F" w14:textId="77777777" w:rsidR="00A73897" w:rsidRPr="007F763B" w:rsidRDefault="0024413B">
            <w:pPr>
              <w:widowControl w:val="0"/>
              <w:spacing w:before="240" w:after="240" w:line="240" w:lineRule="auto"/>
              <w:rPr>
                <w:sz w:val="20"/>
                <w:szCs w:val="20"/>
              </w:rPr>
            </w:pPr>
            <w:r w:rsidRPr="007F763B">
              <w:rPr>
                <w:sz w:val="20"/>
                <w:szCs w:val="20"/>
              </w:rPr>
              <w:t>Планируется ли предоставлять данные дальше по воронке: до открытия продукта и надо ли нам учитывать это этап в расчете?</w:t>
            </w:r>
          </w:p>
        </w:tc>
        <w:tc>
          <w:tcPr>
            <w:tcW w:w="6305" w:type="dxa"/>
            <w:shd w:val="clear" w:color="auto" w:fill="auto"/>
            <w:tcMar>
              <w:top w:w="100" w:type="dxa"/>
              <w:left w:w="100" w:type="dxa"/>
              <w:bottom w:w="100" w:type="dxa"/>
              <w:right w:w="100" w:type="dxa"/>
            </w:tcMar>
          </w:tcPr>
          <w:p w14:paraId="059F7802" w14:textId="77777777" w:rsidR="00A73897" w:rsidRPr="007F763B" w:rsidRDefault="002F3C1F" w:rsidP="002F3C1F">
            <w:pPr>
              <w:widowControl w:val="0"/>
              <w:pBdr>
                <w:top w:val="nil"/>
                <w:left w:val="nil"/>
                <w:bottom w:val="nil"/>
                <w:right w:val="nil"/>
                <w:between w:val="nil"/>
              </w:pBdr>
              <w:spacing w:line="240" w:lineRule="auto"/>
              <w:rPr>
                <w:sz w:val="20"/>
                <w:szCs w:val="20"/>
                <w:lang w:val="ru-RU"/>
              </w:rPr>
            </w:pPr>
            <w:r w:rsidRPr="007F763B">
              <w:rPr>
                <w:sz w:val="20"/>
                <w:szCs w:val="20"/>
                <w:lang w:val="ru-RU"/>
              </w:rPr>
              <w:t xml:space="preserve">Нет, до открытия продукта можно не рассчитывать медиаплан. Пока что достаточно сконцентрироваться на заявке. </w:t>
            </w:r>
          </w:p>
        </w:tc>
      </w:tr>
      <w:tr w:rsidR="00A73897" w14:paraId="3BD8F1D1" w14:textId="77777777" w:rsidTr="002F3C1F">
        <w:trPr>
          <w:trHeight w:val="570"/>
        </w:trPr>
        <w:tc>
          <w:tcPr>
            <w:tcW w:w="3750" w:type="dxa"/>
            <w:shd w:val="clear" w:color="auto" w:fill="auto"/>
            <w:tcMar>
              <w:top w:w="100" w:type="dxa"/>
              <w:left w:w="100" w:type="dxa"/>
              <w:bottom w:w="100" w:type="dxa"/>
              <w:right w:w="100" w:type="dxa"/>
            </w:tcMar>
          </w:tcPr>
          <w:p w14:paraId="0C38C1F1" w14:textId="77777777" w:rsidR="00A73897" w:rsidRPr="007F763B" w:rsidRDefault="0024413B">
            <w:pPr>
              <w:widowControl w:val="0"/>
              <w:spacing w:before="240" w:after="240" w:line="240" w:lineRule="auto"/>
              <w:rPr>
                <w:sz w:val="20"/>
                <w:szCs w:val="20"/>
              </w:rPr>
            </w:pPr>
            <w:r w:rsidRPr="007F763B">
              <w:rPr>
                <w:sz w:val="20"/>
                <w:szCs w:val="20"/>
              </w:rPr>
              <w:t>Так же есть возможность оставить заявку через Госуслуги - такие заявки тоже учитываются? Как отслеживаются?</w:t>
            </w:r>
          </w:p>
        </w:tc>
        <w:tc>
          <w:tcPr>
            <w:tcW w:w="6305" w:type="dxa"/>
            <w:shd w:val="clear" w:color="auto" w:fill="auto"/>
            <w:tcMar>
              <w:top w:w="100" w:type="dxa"/>
              <w:left w:w="100" w:type="dxa"/>
              <w:bottom w:w="100" w:type="dxa"/>
              <w:right w:w="100" w:type="dxa"/>
            </w:tcMar>
          </w:tcPr>
          <w:p w14:paraId="787501F4" w14:textId="77777777" w:rsidR="00A73897" w:rsidRPr="007F763B" w:rsidRDefault="002F3C1F" w:rsidP="002F3C1F">
            <w:pPr>
              <w:widowControl w:val="0"/>
              <w:spacing w:line="240" w:lineRule="auto"/>
              <w:rPr>
                <w:sz w:val="20"/>
                <w:szCs w:val="20"/>
                <w:lang w:val="ru-RU"/>
              </w:rPr>
            </w:pPr>
            <w:r w:rsidRPr="007F763B">
              <w:rPr>
                <w:sz w:val="20"/>
                <w:szCs w:val="20"/>
                <w:lang w:val="ru-RU"/>
              </w:rPr>
              <w:t>Заявка, заполненная через госуслуги, равноценна полной анкете (прохождение всех 4х шагов)</w:t>
            </w:r>
          </w:p>
        </w:tc>
      </w:tr>
      <w:tr w:rsidR="00A73897" w14:paraId="530F3B91" w14:textId="77777777" w:rsidTr="002F3C1F">
        <w:tc>
          <w:tcPr>
            <w:tcW w:w="3750" w:type="dxa"/>
            <w:shd w:val="clear" w:color="auto" w:fill="auto"/>
            <w:tcMar>
              <w:top w:w="100" w:type="dxa"/>
              <w:left w:w="100" w:type="dxa"/>
              <w:bottom w:w="100" w:type="dxa"/>
              <w:right w:w="100" w:type="dxa"/>
            </w:tcMar>
          </w:tcPr>
          <w:p w14:paraId="0CC1A24A" w14:textId="77777777" w:rsidR="00A73897" w:rsidRPr="007F763B" w:rsidRDefault="0024413B">
            <w:pPr>
              <w:widowControl w:val="0"/>
              <w:spacing w:before="240" w:after="240" w:line="240" w:lineRule="auto"/>
              <w:rPr>
                <w:sz w:val="20"/>
                <w:szCs w:val="20"/>
              </w:rPr>
            </w:pPr>
            <w:r w:rsidRPr="007F763B">
              <w:rPr>
                <w:sz w:val="20"/>
                <w:szCs w:val="20"/>
              </w:rPr>
              <w:t>Так же внизу страницы есть номер телефона и ссылки на приложение - если заявка уходит туда она учитывается? Как отслеживается?</w:t>
            </w:r>
          </w:p>
        </w:tc>
        <w:tc>
          <w:tcPr>
            <w:tcW w:w="6305" w:type="dxa"/>
            <w:shd w:val="clear" w:color="auto" w:fill="auto"/>
            <w:tcMar>
              <w:top w:w="100" w:type="dxa"/>
              <w:left w:w="100" w:type="dxa"/>
              <w:bottom w:w="100" w:type="dxa"/>
              <w:right w:w="100" w:type="dxa"/>
            </w:tcMar>
          </w:tcPr>
          <w:p w14:paraId="7B7BAFAB" w14:textId="77777777" w:rsidR="00A73897" w:rsidRPr="007F763B" w:rsidRDefault="002F3C1F">
            <w:pPr>
              <w:widowControl w:val="0"/>
              <w:pBdr>
                <w:top w:val="nil"/>
                <w:left w:val="nil"/>
                <w:bottom w:val="nil"/>
                <w:right w:val="nil"/>
                <w:between w:val="nil"/>
              </w:pBdr>
              <w:spacing w:line="240" w:lineRule="auto"/>
              <w:rPr>
                <w:sz w:val="20"/>
                <w:szCs w:val="20"/>
                <w:lang w:val="ru-RU"/>
              </w:rPr>
            </w:pPr>
            <w:r w:rsidRPr="007F763B">
              <w:rPr>
                <w:sz w:val="20"/>
                <w:szCs w:val="20"/>
                <w:lang w:val="ru-RU"/>
              </w:rPr>
              <w:t>Нет, телефонные звонки и мобильное приложение в контексте данного задания не учитываем.</w:t>
            </w:r>
          </w:p>
        </w:tc>
      </w:tr>
      <w:tr w:rsidR="00A73897" w14:paraId="1B724F40" w14:textId="77777777" w:rsidTr="002F3C1F">
        <w:tc>
          <w:tcPr>
            <w:tcW w:w="3750" w:type="dxa"/>
            <w:shd w:val="clear" w:color="auto" w:fill="auto"/>
            <w:tcMar>
              <w:top w:w="100" w:type="dxa"/>
              <w:left w:w="100" w:type="dxa"/>
              <w:bottom w:w="100" w:type="dxa"/>
              <w:right w:w="100" w:type="dxa"/>
            </w:tcMar>
          </w:tcPr>
          <w:p w14:paraId="0A6CFAAD" w14:textId="77777777" w:rsidR="00A73897" w:rsidRPr="007F763B" w:rsidRDefault="0024413B">
            <w:pPr>
              <w:widowControl w:val="0"/>
              <w:spacing w:before="240" w:after="240" w:line="240" w:lineRule="auto"/>
              <w:rPr>
                <w:sz w:val="20"/>
                <w:szCs w:val="20"/>
              </w:rPr>
            </w:pPr>
            <w:r w:rsidRPr="007F763B">
              <w:rPr>
                <w:sz w:val="20"/>
                <w:szCs w:val="20"/>
              </w:rPr>
              <w:t xml:space="preserve">В техническом задании представлен примерный план расходов с пометкой, что ориентировочно первые 6 мес. расходуется 6 млн на </w:t>
            </w:r>
            <w:r w:rsidRPr="007F763B">
              <w:rPr>
                <w:sz w:val="20"/>
                <w:szCs w:val="20"/>
              </w:rPr>
              <w:lastRenderedPageBreak/>
              <w:t>тестовые запуски. И ориентировочный план расходов. Однако при таком распределении бюджета и количестве каналов в первые 6 месяцев возможности для тестов будут ограничены. Так же в распределении бюджета присутствую довольно резкие скачки. Особенно с августа на сентябрь и с ноября по декабрь. Большая вероятность, что обученные к тому времени стратегии сломаются.</w:t>
            </w:r>
          </w:p>
          <w:p w14:paraId="11D97FE3" w14:textId="77777777" w:rsidR="00A73897" w:rsidRPr="007F763B" w:rsidRDefault="0024413B">
            <w:pPr>
              <w:widowControl w:val="0"/>
              <w:spacing w:before="240" w:after="240" w:line="240" w:lineRule="auto"/>
              <w:rPr>
                <w:sz w:val="20"/>
                <w:szCs w:val="20"/>
              </w:rPr>
            </w:pPr>
            <w:r w:rsidRPr="007F763B">
              <w:rPr>
                <w:sz w:val="20"/>
                <w:szCs w:val="20"/>
              </w:rPr>
              <w:t xml:space="preserve">   Возможно ли более плановое распределение бюджета? </w:t>
            </w:r>
          </w:p>
          <w:p w14:paraId="600BF46A" w14:textId="77777777" w:rsidR="00A73897" w:rsidRPr="007F763B" w:rsidRDefault="0024413B">
            <w:pPr>
              <w:widowControl w:val="0"/>
              <w:spacing w:before="240" w:after="240" w:line="240" w:lineRule="auto"/>
              <w:rPr>
                <w:sz w:val="20"/>
                <w:szCs w:val="20"/>
              </w:rPr>
            </w:pPr>
            <w:r w:rsidRPr="007F763B">
              <w:rPr>
                <w:sz w:val="20"/>
                <w:szCs w:val="20"/>
              </w:rPr>
              <w:t xml:space="preserve">   И нужно ли на него ориентироваться при расчете МП или же мы можем предложить распределение бюджета согласно сезонному спросу?</w:t>
            </w:r>
          </w:p>
        </w:tc>
        <w:tc>
          <w:tcPr>
            <w:tcW w:w="6305" w:type="dxa"/>
            <w:shd w:val="clear" w:color="auto" w:fill="auto"/>
            <w:tcMar>
              <w:top w:w="100" w:type="dxa"/>
              <w:left w:w="100" w:type="dxa"/>
              <w:bottom w:w="100" w:type="dxa"/>
              <w:right w:w="100" w:type="dxa"/>
            </w:tcMar>
          </w:tcPr>
          <w:p w14:paraId="45AC7540" w14:textId="77777777" w:rsidR="00A73897" w:rsidRPr="007F763B" w:rsidRDefault="002F3C1F" w:rsidP="00E07F8F">
            <w:pPr>
              <w:widowControl w:val="0"/>
              <w:pBdr>
                <w:top w:val="nil"/>
                <w:left w:val="nil"/>
                <w:bottom w:val="nil"/>
                <w:right w:val="nil"/>
                <w:between w:val="nil"/>
              </w:pBdr>
              <w:spacing w:line="240" w:lineRule="auto"/>
              <w:rPr>
                <w:sz w:val="20"/>
                <w:szCs w:val="20"/>
                <w:lang w:val="ru-RU"/>
              </w:rPr>
            </w:pPr>
            <w:r w:rsidRPr="007F763B">
              <w:rPr>
                <w:sz w:val="20"/>
                <w:szCs w:val="20"/>
                <w:lang w:val="ru-RU"/>
              </w:rPr>
              <w:lastRenderedPageBreak/>
              <w:t>Первые 6 месяцев нужно тратить как указано в</w:t>
            </w:r>
            <w:r w:rsidR="00E07F8F" w:rsidRPr="007F763B">
              <w:rPr>
                <w:sz w:val="20"/>
                <w:szCs w:val="20"/>
                <w:lang w:val="ru-RU"/>
              </w:rPr>
              <w:t xml:space="preserve"> </w:t>
            </w:r>
            <w:r w:rsidRPr="007F763B">
              <w:rPr>
                <w:sz w:val="20"/>
                <w:szCs w:val="20"/>
                <w:lang w:val="ru-RU"/>
              </w:rPr>
              <w:t xml:space="preserve">задании, а далее вы можете предложить более </w:t>
            </w:r>
            <w:r w:rsidR="00E07F8F" w:rsidRPr="007F763B">
              <w:rPr>
                <w:sz w:val="20"/>
                <w:szCs w:val="20"/>
                <w:lang w:val="ru-RU"/>
              </w:rPr>
              <w:t>планомерное распределение бюджета, опираясь на ваш опыт, сезонность и иные факторы, которые посчитаете нужными учесть. Самое главное – обосновать.</w:t>
            </w:r>
          </w:p>
          <w:p w14:paraId="041B03ED" w14:textId="77777777" w:rsidR="00E07F8F" w:rsidRPr="007F763B" w:rsidRDefault="00E07F8F" w:rsidP="00E07F8F">
            <w:pPr>
              <w:widowControl w:val="0"/>
              <w:pBdr>
                <w:top w:val="nil"/>
                <w:left w:val="nil"/>
                <w:bottom w:val="nil"/>
                <w:right w:val="nil"/>
                <w:between w:val="nil"/>
              </w:pBdr>
              <w:spacing w:line="240" w:lineRule="auto"/>
              <w:rPr>
                <w:sz w:val="20"/>
                <w:szCs w:val="20"/>
                <w:lang w:val="ru-RU"/>
              </w:rPr>
            </w:pPr>
            <w:r w:rsidRPr="007F763B">
              <w:rPr>
                <w:sz w:val="20"/>
                <w:szCs w:val="20"/>
                <w:lang w:val="ru-RU"/>
              </w:rPr>
              <w:lastRenderedPageBreak/>
              <w:t>Обращаю внимание, что задание носит творческий характер, в котором участник имеет возможность проявить себя и показать своё видение стратегии продвижения. Стратегия и МП предложенные агентство носят только справочный характер и не являются обязательством перед банком.</w:t>
            </w:r>
          </w:p>
        </w:tc>
      </w:tr>
      <w:tr w:rsidR="00A73897" w14:paraId="25BD7E4F" w14:textId="77777777" w:rsidTr="002F3C1F">
        <w:tc>
          <w:tcPr>
            <w:tcW w:w="10055" w:type="dxa"/>
            <w:gridSpan w:val="2"/>
            <w:shd w:val="clear" w:color="auto" w:fill="auto"/>
            <w:tcMar>
              <w:top w:w="100" w:type="dxa"/>
              <w:left w:w="100" w:type="dxa"/>
              <w:bottom w:w="100" w:type="dxa"/>
              <w:right w:w="100" w:type="dxa"/>
            </w:tcMar>
          </w:tcPr>
          <w:p w14:paraId="0B570DEA" w14:textId="77777777" w:rsidR="00A73897" w:rsidRPr="007F763B" w:rsidRDefault="0024413B">
            <w:pPr>
              <w:widowControl w:val="0"/>
              <w:rPr>
                <w:b/>
                <w:sz w:val="20"/>
                <w:szCs w:val="20"/>
              </w:rPr>
            </w:pPr>
            <w:r w:rsidRPr="007F763B">
              <w:rPr>
                <w:b/>
                <w:sz w:val="20"/>
                <w:szCs w:val="20"/>
              </w:rPr>
              <w:lastRenderedPageBreak/>
              <w:t>Контекст</w:t>
            </w:r>
          </w:p>
        </w:tc>
      </w:tr>
      <w:tr w:rsidR="00A73897" w14:paraId="1C994B0E" w14:textId="77777777" w:rsidTr="002F3C1F">
        <w:tc>
          <w:tcPr>
            <w:tcW w:w="3750" w:type="dxa"/>
            <w:shd w:val="clear" w:color="auto" w:fill="auto"/>
            <w:tcMar>
              <w:top w:w="100" w:type="dxa"/>
              <w:left w:w="100" w:type="dxa"/>
              <w:bottom w:w="100" w:type="dxa"/>
              <w:right w:w="100" w:type="dxa"/>
            </w:tcMar>
          </w:tcPr>
          <w:p w14:paraId="71A36E4B" w14:textId="77777777" w:rsidR="00A73897" w:rsidRPr="007F763B" w:rsidRDefault="0024413B">
            <w:pPr>
              <w:widowControl w:val="0"/>
              <w:spacing w:line="240" w:lineRule="auto"/>
              <w:rPr>
                <w:sz w:val="20"/>
                <w:szCs w:val="20"/>
              </w:rPr>
            </w:pPr>
            <w:r w:rsidRPr="007F763B">
              <w:rPr>
                <w:sz w:val="20"/>
                <w:szCs w:val="20"/>
              </w:rPr>
              <w:t>Какой средний процент конверсии из визита в заявку?</w:t>
            </w:r>
          </w:p>
        </w:tc>
        <w:tc>
          <w:tcPr>
            <w:tcW w:w="6305" w:type="dxa"/>
            <w:shd w:val="clear" w:color="auto" w:fill="auto"/>
            <w:tcMar>
              <w:top w:w="100" w:type="dxa"/>
              <w:left w:w="100" w:type="dxa"/>
              <w:bottom w:w="100" w:type="dxa"/>
              <w:right w:w="100" w:type="dxa"/>
            </w:tcMar>
          </w:tcPr>
          <w:p w14:paraId="25CB2C08" w14:textId="77777777" w:rsidR="00E07F8F" w:rsidRPr="007F763B" w:rsidRDefault="00E07F8F" w:rsidP="00E07F8F">
            <w:pPr>
              <w:rPr>
                <w:sz w:val="20"/>
                <w:szCs w:val="20"/>
                <w:lang w:val="ru-RU"/>
              </w:rPr>
            </w:pPr>
            <w:r w:rsidRPr="007F763B">
              <w:rPr>
                <w:sz w:val="20"/>
                <w:szCs w:val="20"/>
                <w:lang w:val="ru-RU"/>
              </w:rPr>
              <w:t>Конверсия из визита в заявку.</w:t>
            </w:r>
          </w:p>
          <w:p w14:paraId="7E650140" w14:textId="77777777" w:rsidR="00E07F8F" w:rsidRPr="007F763B" w:rsidRDefault="00E07F8F" w:rsidP="00E07F8F">
            <w:pPr>
              <w:rPr>
                <w:sz w:val="20"/>
                <w:szCs w:val="20"/>
                <w:lang w:val="ru-RU"/>
              </w:rPr>
            </w:pPr>
            <w:r w:rsidRPr="007F763B">
              <w:rPr>
                <w:sz w:val="20"/>
                <w:szCs w:val="20"/>
                <w:lang w:val="ru-RU"/>
              </w:rPr>
              <w:t>1. кредитная карта -10%</w:t>
            </w:r>
          </w:p>
          <w:p w14:paraId="03EDE5FF" w14:textId="77777777" w:rsidR="00E07F8F" w:rsidRPr="007F763B" w:rsidRDefault="00E07F8F" w:rsidP="00E07F8F">
            <w:pPr>
              <w:rPr>
                <w:sz w:val="20"/>
                <w:szCs w:val="20"/>
                <w:lang w:val="ru-RU"/>
              </w:rPr>
            </w:pPr>
            <w:r w:rsidRPr="007F763B">
              <w:rPr>
                <w:sz w:val="20"/>
                <w:szCs w:val="20"/>
                <w:lang w:val="ru-RU"/>
              </w:rPr>
              <w:t>2. кредит наличными - 5%</w:t>
            </w:r>
          </w:p>
          <w:p w14:paraId="589D10C5" w14:textId="77777777" w:rsidR="00A73897" w:rsidRPr="007F763B" w:rsidRDefault="00A73897">
            <w:pPr>
              <w:widowControl w:val="0"/>
              <w:pBdr>
                <w:top w:val="nil"/>
                <w:left w:val="nil"/>
                <w:bottom w:val="nil"/>
                <w:right w:val="nil"/>
                <w:between w:val="nil"/>
              </w:pBdr>
              <w:spacing w:line="240" w:lineRule="auto"/>
              <w:rPr>
                <w:sz w:val="20"/>
                <w:szCs w:val="20"/>
                <w:lang w:val="ru-RU"/>
              </w:rPr>
            </w:pPr>
          </w:p>
        </w:tc>
      </w:tr>
      <w:tr w:rsidR="00A73897" w14:paraId="45EC0374" w14:textId="77777777" w:rsidTr="002F3C1F">
        <w:tc>
          <w:tcPr>
            <w:tcW w:w="3750" w:type="dxa"/>
            <w:shd w:val="clear" w:color="auto" w:fill="auto"/>
            <w:tcMar>
              <w:top w:w="100" w:type="dxa"/>
              <w:left w:w="100" w:type="dxa"/>
              <w:bottom w:w="100" w:type="dxa"/>
              <w:right w:w="100" w:type="dxa"/>
            </w:tcMar>
          </w:tcPr>
          <w:p w14:paraId="3FE12ABB" w14:textId="77777777" w:rsidR="00A73897" w:rsidRPr="007F763B" w:rsidRDefault="0024413B">
            <w:pPr>
              <w:widowControl w:val="0"/>
              <w:rPr>
                <w:sz w:val="20"/>
                <w:szCs w:val="20"/>
              </w:rPr>
            </w:pPr>
            <w:r w:rsidRPr="007F763B">
              <w:rPr>
                <w:sz w:val="20"/>
                <w:szCs w:val="20"/>
              </w:rPr>
              <w:t>Есть ли возможность проанализировать текущее рекламное размещение (аудит), чтобы предложить наиболее эффективные тактики?</w:t>
            </w:r>
          </w:p>
        </w:tc>
        <w:tc>
          <w:tcPr>
            <w:tcW w:w="6305" w:type="dxa"/>
            <w:shd w:val="clear" w:color="auto" w:fill="auto"/>
            <w:tcMar>
              <w:top w:w="100" w:type="dxa"/>
              <w:left w:w="100" w:type="dxa"/>
              <w:bottom w:w="100" w:type="dxa"/>
              <w:right w:w="100" w:type="dxa"/>
            </w:tcMar>
          </w:tcPr>
          <w:p w14:paraId="3C312F2F" w14:textId="77777777" w:rsidR="00A73897" w:rsidRPr="007F763B" w:rsidRDefault="00E07F8F">
            <w:pPr>
              <w:widowControl w:val="0"/>
              <w:pBdr>
                <w:top w:val="nil"/>
                <w:left w:val="nil"/>
                <w:bottom w:val="nil"/>
                <w:right w:val="nil"/>
                <w:between w:val="nil"/>
              </w:pBdr>
              <w:spacing w:line="240" w:lineRule="auto"/>
              <w:rPr>
                <w:sz w:val="20"/>
                <w:szCs w:val="20"/>
                <w:lang w:val="ru-RU"/>
              </w:rPr>
            </w:pPr>
            <w:r w:rsidRPr="007F763B">
              <w:rPr>
                <w:sz w:val="20"/>
                <w:szCs w:val="20"/>
                <w:lang w:val="ru-RU"/>
              </w:rPr>
              <w:t>К сожалению, нет</w:t>
            </w:r>
          </w:p>
        </w:tc>
      </w:tr>
      <w:tr w:rsidR="00A73897" w14:paraId="573E2265" w14:textId="77777777" w:rsidTr="002F3C1F">
        <w:tc>
          <w:tcPr>
            <w:tcW w:w="3750" w:type="dxa"/>
            <w:shd w:val="clear" w:color="auto" w:fill="auto"/>
            <w:tcMar>
              <w:top w:w="100" w:type="dxa"/>
              <w:left w:w="100" w:type="dxa"/>
              <w:bottom w:w="100" w:type="dxa"/>
              <w:right w:w="100" w:type="dxa"/>
            </w:tcMar>
          </w:tcPr>
          <w:p w14:paraId="0A4D49C4" w14:textId="77777777" w:rsidR="00A73897" w:rsidRPr="007F763B" w:rsidRDefault="0024413B">
            <w:pPr>
              <w:widowControl w:val="0"/>
              <w:rPr>
                <w:sz w:val="20"/>
                <w:szCs w:val="20"/>
              </w:rPr>
            </w:pPr>
            <w:r w:rsidRPr="007F763B">
              <w:rPr>
                <w:sz w:val="20"/>
                <w:szCs w:val="20"/>
              </w:rPr>
              <w:t>МП считаем с 3 марта 2025 по 31 декабря 2025, верно?</w:t>
            </w:r>
          </w:p>
        </w:tc>
        <w:tc>
          <w:tcPr>
            <w:tcW w:w="6305" w:type="dxa"/>
            <w:shd w:val="clear" w:color="auto" w:fill="auto"/>
            <w:tcMar>
              <w:top w:w="100" w:type="dxa"/>
              <w:left w:w="100" w:type="dxa"/>
              <w:bottom w:w="100" w:type="dxa"/>
              <w:right w:w="100" w:type="dxa"/>
            </w:tcMar>
          </w:tcPr>
          <w:p w14:paraId="5213A8C3" w14:textId="77777777" w:rsidR="00A73897" w:rsidRPr="007F763B" w:rsidRDefault="00E07F8F" w:rsidP="00E07F8F">
            <w:pPr>
              <w:widowControl w:val="0"/>
              <w:spacing w:line="240" w:lineRule="auto"/>
              <w:rPr>
                <w:sz w:val="20"/>
                <w:szCs w:val="20"/>
                <w:lang w:val="ru-RU"/>
              </w:rPr>
            </w:pPr>
            <w:r w:rsidRPr="007F763B">
              <w:rPr>
                <w:sz w:val="20"/>
                <w:szCs w:val="20"/>
                <w:lang w:val="ru-RU"/>
              </w:rPr>
              <w:t>Не обязательно привязываться к точным датам. Но условно это может быть период с марта по декабрь</w:t>
            </w:r>
          </w:p>
        </w:tc>
      </w:tr>
      <w:tr w:rsidR="00A73897" w14:paraId="0859F5E3" w14:textId="77777777" w:rsidTr="002F3C1F">
        <w:tc>
          <w:tcPr>
            <w:tcW w:w="3750" w:type="dxa"/>
            <w:shd w:val="clear" w:color="auto" w:fill="auto"/>
            <w:tcMar>
              <w:top w:w="100" w:type="dxa"/>
              <w:left w:w="100" w:type="dxa"/>
              <w:bottom w:w="100" w:type="dxa"/>
              <w:right w:w="100" w:type="dxa"/>
            </w:tcMar>
          </w:tcPr>
          <w:p w14:paraId="05BA6991" w14:textId="77777777" w:rsidR="00A73897" w:rsidRPr="007F763B" w:rsidRDefault="0024413B">
            <w:pPr>
              <w:widowControl w:val="0"/>
              <w:rPr>
                <w:sz w:val="20"/>
                <w:szCs w:val="20"/>
              </w:rPr>
            </w:pPr>
            <w:r w:rsidRPr="007F763B">
              <w:rPr>
                <w:sz w:val="20"/>
                <w:szCs w:val="20"/>
              </w:rPr>
              <w:t xml:space="preserve">В брифе сказано, что считаем только поисковые кампании, верно? </w:t>
            </w:r>
          </w:p>
        </w:tc>
        <w:tc>
          <w:tcPr>
            <w:tcW w:w="6305" w:type="dxa"/>
            <w:shd w:val="clear" w:color="auto" w:fill="auto"/>
            <w:tcMar>
              <w:top w:w="100" w:type="dxa"/>
              <w:left w:w="100" w:type="dxa"/>
              <w:bottom w:w="100" w:type="dxa"/>
              <w:right w:w="100" w:type="dxa"/>
            </w:tcMar>
          </w:tcPr>
          <w:p w14:paraId="5B70903A" w14:textId="77777777" w:rsidR="00A73897" w:rsidRPr="007F763B" w:rsidRDefault="00E07F8F">
            <w:pPr>
              <w:widowControl w:val="0"/>
              <w:spacing w:line="240" w:lineRule="auto"/>
              <w:rPr>
                <w:sz w:val="20"/>
                <w:szCs w:val="20"/>
                <w:lang w:val="ru-RU"/>
              </w:rPr>
            </w:pPr>
            <w:r w:rsidRPr="007F763B">
              <w:rPr>
                <w:sz w:val="20"/>
                <w:szCs w:val="20"/>
                <w:lang w:val="ru-RU"/>
              </w:rPr>
              <w:t xml:space="preserve">На ваше усмотрение, как посчитаете нужным. Это могут быть как поисковые, так и баннерные кампании. </w:t>
            </w:r>
          </w:p>
        </w:tc>
      </w:tr>
      <w:tr w:rsidR="00A73897" w14:paraId="1E090D35" w14:textId="77777777" w:rsidTr="002F3C1F">
        <w:tc>
          <w:tcPr>
            <w:tcW w:w="3750" w:type="dxa"/>
            <w:shd w:val="clear" w:color="auto" w:fill="auto"/>
            <w:tcMar>
              <w:top w:w="100" w:type="dxa"/>
              <w:left w:w="100" w:type="dxa"/>
              <w:bottom w:w="100" w:type="dxa"/>
              <w:right w:w="100" w:type="dxa"/>
            </w:tcMar>
          </w:tcPr>
          <w:p w14:paraId="7E3ABFC1" w14:textId="77777777" w:rsidR="00A73897" w:rsidRPr="007F763B" w:rsidRDefault="0024413B">
            <w:pPr>
              <w:widowControl w:val="0"/>
              <w:rPr>
                <w:sz w:val="20"/>
                <w:szCs w:val="20"/>
              </w:rPr>
            </w:pPr>
            <w:r w:rsidRPr="007F763B">
              <w:rPr>
                <w:sz w:val="20"/>
                <w:szCs w:val="20"/>
              </w:rPr>
              <w:t xml:space="preserve">В Брифе сказано, что не считаем брендовое размещение, так как нужны только новые пользователи. Однако, так мы теряем аудиторию, которая слышала про банк, но не является его клиентом. Можно создать аудиторию текущих клиентов банка и поставить на нее </w:t>
            </w:r>
            <w:proofErr w:type="gramStart"/>
            <w:r w:rsidRPr="007F763B">
              <w:rPr>
                <w:sz w:val="20"/>
                <w:szCs w:val="20"/>
              </w:rPr>
              <w:t>кор-ку</w:t>
            </w:r>
            <w:proofErr w:type="gramEnd"/>
            <w:r w:rsidRPr="007F763B">
              <w:rPr>
                <w:sz w:val="20"/>
                <w:szCs w:val="20"/>
              </w:rPr>
              <w:t xml:space="preserve"> -100%, таким образом клиентам банка реклама показана не будет.</w:t>
            </w:r>
          </w:p>
          <w:p w14:paraId="2EDB5B75" w14:textId="77777777" w:rsidR="00A73897" w:rsidRPr="007F763B" w:rsidRDefault="00A73897">
            <w:pPr>
              <w:widowControl w:val="0"/>
              <w:rPr>
                <w:sz w:val="20"/>
                <w:szCs w:val="20"/>
              </w:rPr>
            </w:pPr>
          </w:p>
          <w:p w14:paraId="30505339" w14:textId="77777777" w:rsidR="00A73897" w:rsidRPr="007F763B" w:rsidRDefault="0024413B">
            <w:pPr>
              <w:widowControl w:val="0"/>
              <w:rPr>
                <w:sz w:val="20"/>
                <w:szCs w:val="20"/>
              </w:rPr>
            </w:pPr>
            <w:r w:rsidRPr="007F763B">
              <w:rPr>
                <w:sz w:val="20"/>
                <w:szCs w:val="20"/>
              </w:rPr>
              <w:t>Учитывая это, можем ли мы использовать брендовые запросы?</w:t>
            </w:r>
          </w:p>
          <w:p w14:paraId="149582A2" w14:textId="77777777" w:rsidR="00A73897" w:rsidRPr="007F763B" w:rsidRDefault="00A73897">
            <w:pPr>
              <w:widowControl w:val="0"/>
              <w:rPr>
                <w:sz w:val="20"/>
                <w:szCs w:val="20"/>
              </w:rPr>
            </w:pPr>
          </w:p>
          <w:p w14:paraId="46C13AEC" w14:textId="77777777" w:rsidR="00A73897" w:rsidRPr="007F763B" w:rsidRDefault="0024413B">
            <w:pPr>
              <w:widowControl w:val="0"/>
              <w:rPr>
                <w:sz w:val="20"/>
                <w:szCs w:val="20"/>
              </w:rPr>
            </w:pPr>
            <w:r w:rsidRPr="007F763B">
              <w:rPr>
                <w:sz w:val="20"/>
                <w:szCs w:val="20"/>
              </w:rPr>
              <w:t xml:space="preserve">И если да, то можем ли использовать общий бренд? Если да, то в каком продукте? </w:t>
            </w:r>
          </w:p>
        </w:tc>
        <w:tc>
          <w:tcPr>
            <w:tcW w:w="6305" w:type="dxa"/>
            <w:shd w:val="clear" w:color="auto" w:fill="auto"/>
            <w:tcMar>
              <w:top w:w="100" w:type="dxa"/>
              <w:left w:w="100" w:type="dxa"/>
              <w:bottom w:w="100" w:type="dxa"/>
              <w:right w:w="100" w:type="dxa"/>
            </w:tcMar>
          </w:tcPr>
          <w:p w14:paraId="7DFE40CE" w14:textId="77777777" w:rsidR="00A73897" w:rsidRPr="007F763B" w:rsidRDefault="00E07F8F" w:rsidP="00E07F8F">
            <w:pPr>
              <w:widowControl w:val="0"/>
              <w:rPr>
                <w:sz w:val="20"/>
                <w:szCs w:val="20"/>
                <w:lang w:val="ru-RU"/>
              </w:rPr>
            </w:pPr>
            <w:r w:rsidRPr="007F763B">
              <w:rPr>
                <w:sz w:val="20"/>
                <w:szCs w:val="20"/>
                <w:lang w:val="ru-RU"/>
              </w:rPr>
              <w:lastRenderedPageBreak/>
              <w:t>Нет, брендовые запросы считать не нужно. Мы и так знаем, что по ним пользователи к нам придут. Первоочередная задача – привлечь по общим запросам типа оформить кредитную карту / кредит</w:t>
            </w:r>
          </w:p>
        </w:tc>
      </w:tr>
      <w:tr w:rsidR="00A73897" w14:paraId="7BEABB9D" w14:textId="77777777" w:rsidTr="002F3C1F">
        <w:tc>
          <w:tcPr>
            <w:tcW w:w="10055" w:type="dxa"/>
            <w:gridSpan w:val="2"/>
            <w:shd w:val="clear" w:color="auto" w:fill="auto"/>
            <w:tcMar>
              <w:top w:w="100" w:type="dxa"/>
              <w:left w:w="100" w:type="dxa"/>
              <w:bottom w:w="100" w:type="dxa"/>
              <w:right w:w="100" w:type="dxa"/>
            </w:tcMar>
          </w:tcPr>
          <w:p w14:paraId="5C4C7328" w14:textId="77777777" w:rsidR="00A73897" w:rsidRPr="007F763B" w:rsidRDefault="0024413B">
            <w:pPr>
              <w:widowControl w:val="0"/>
              <w:spacing w:line="240" w:lineRule="auto"/>
              <w:rPr>
                <w:b/>
                <w:sz w:val="20"/>
                <w:szCs w:val="20"/>
              </w:rPr>
            </w:pPr>
            <w:r w:rsidRPr="007F763B">
              <w:rPr>
                <w:b/>
                <w:sz w:val="20"/>
                <w:szCs w:val="20"/>
              </w:rPr>
              <w:t>Таргет</w:t>
            </w:r>
          </w:p>
        </w:tc>
      </w:tr>
      <w:tr w:rsidR="00A73897" w14:paraId="38F68CD8" w14:textId="77777777" w:rsidTr="002F3C1F">
        <w:tc>
          <w:tcPr>
            <w:tcW w:w="3750" w:type="dxa"/>
            <w:shd w:val="clear" w:color="auto" w:fill="auto"/>
            <w:tcMar>
              <w:top w:w="100" w:type="dxa"/>
              <w:left w:w="100" w:type="dxa"/>
              <w:bottom w:w="100" w:type="dxa"/>
              <w:right w:w="100" w:type="dxa"/>
            </w:tcMar>
          </w:tcPr>
          <w:p w14:paraId="772C806D" w14:textId="77777777" w:rsidR="00A73897" w:rsidRPr="007F763B" w:rsidRDefault="0024413B">
            <w:pPr>
              <w:widowControl w:val="0"/>
              <w:rPr>
                <w:sz w:val="20"/>
                <w:szCs w:val="20"/>
              </w:rPr>
            </w:pPr>
            <w:r w:rsidRPr="007F763B">
              <w:rPr>
                <w:sz w:val="20"/>
                <w:szCs w:val="20"/>
              </w:rPr>
              <w:t>Есть ли возможность проанализировать текущее рекламное размещение если оно есть (аудит), чтобы предложить наиболее эффективные тактики?</w:t>
            </w:r>
          </w:p>
        </w:tc>
        <w:tc>
          <w:tcPr>
            <w:tcW w:w="6305" w:type="dxa"/>
            <w:shd w:val="clear" w:color="auto" w:fill="auto"/>
            <w:tcMar>
              <w:top w:w="100" w:type="dxa"/>
              <w:left w:w="100" w:type="dxa"/>
              <w:bottom w:w="100" w:type="dxa"/>
              <w:right w:w="100" w:type="dxa"/>
            </w:tcMar>
          </w:tcPr>
          <w:p w14:paraId="0147C253" w14:textId="77777777" w:rsidR="00A73897" w:rsidRPr="007F763B" w:rsidRDefault="0024413B">
            <w:pPr>
              <w:widowControl w:val="0"/>
              <w:spacing w:line="240" w:lineRule="auto"/>
              <w:rPr>
                <w:sz w:val="20"/>
                <w:szCs w:val="20"/>
                <w:lang w:val="ru-RU"/>
              </w:rPr>
            </w:pPr>
            <w:r w:rsidRPr="007F763B">
              <w:rPr>
                <w:sz w:val="20"/>
                <w:szCs w:val="20"/>
                <w:lang w:val="ru-RU"/>
              </w:rPr>
              <w:t>К сожалению, такой возможности нет</w:t>
            </w:r>
          </w:p>
        </w:tc>
      </w:tr>
      <w:tr w:rsidR="00A73897" w14:paraId="34C8B68A" w14:textId="77777777" w:rsidTr="002F3C1F">
        <w:tc>
          <w:tcPr>
            <w:tcW w:w="3750" w:type="dxa"/>
            <w:shd w:val="clear" w:color="auto" w:fill="auto"/>
            <w:tcMar>
              <w:top w:w="100" w:type="dxa"/>
              <w:left w:w="100" w:type="dxa"/>
              <w:bottom w:w="100" w:type="dxa"/>
              <w:right w:w="100" w:type="dxa"/>
            </w:tcMar>
          </w:tcPr>
          <w:p w14:paraId="65861821" w14:textId="77777777" w:rsidR="00A73897" w:rsidRPr="007F763B" w:rsidRDefault="0024413B">
            <w:pPr>
              <w:widowControl w:val="0"/>
              <w:pBdr>
                <w:top w:val="nil"/>
                <w:left w:val="nil"/>
                <w:bottom w:val="nil"/>
                <w:right w:val="nil"/>
                <w:between w:val="nil"/>
              </w:pBdr>
              <w:spacing w:line="240" w:lineRule="auto"/>
              <w:rPr>
                <w:sz w:val="20"/>
                <w:szCs w:val="20"/>
              </w:rPr>
            </w:pPr>
            <w:r w:rsidRPr="007F763B">
              <w:rPr>
                <w:sz w:val="20"/>
                <w:szCs w:val="20"/>
              </w:rPr>
              <w:t>На чьей стороне разработка креативов? Есть ли видео?</w:t>
            </w:r>
          </w:p>
        </w:tc>
        <w:tc>
          <w:tcPr>
            <w:tcW w:w="6305" w:type="dxa"/>
            <w:shd w:val="clear" w:color="auto" w:fill="auto"/>
            <w:tcMar>
              <w:top w:w="100" w:type="dxa"/>
              <w:left w:w="100" w:type="dxa"/>
              <w:bottom w:w="100" w:type="dxa"/>
              <w:right w:w="100" w:type="dxa"/>
            </w:tcMar>
          </w:tcPr>
          <w:p w14:paraId="6458913D" w14:textId="77777777" w:rsidR="00A73897" w:rsidRPr="007F763B" w:rsidRDefault="0024413B">
            <w:pPr>
              <w:widowControl w:val="0"/>
              <w:pBdr>
                <w:top w:val="nil"/>
                <w:left w:val="nil"/>
                <w:bottom w:val="nil"/>
                <w:right w:val="nil"/>
                <w:between w:val="nil"/>
              </w:pBdr>
              <w:spacing w:line="240" w:lineRule="auto"/>
              <w:rPr>
                <w:sz w:val="20"/>
                <w:szCs w:val="20"/>
                <w:lang w:val="ru-RU"/>
              </w:rPr>
            </w:pPr>
            <w:r w:rsidRPr="007F763B">
              <w:rPr>
                <w:sz w:val="20"/>
                <w:szCs w:val="20"/>
                <w:lang w:val="ru-RU"/>
              </w:rPr>
              <w:t>Банк разрабатывает все визуальные креативы. Написание текстовых объявлений – на стороне агентства.</w:t>
            </w:r>
          </w:p>
        </w:tc>
      </w:tr>
      <w:tr w:rsidR="00A73897" w14:paraId="1098D1D4" w14:textId="77777777" w:rsidTr="002F3C1F">
        <w:tc>
          <w:tcPr>
            <w:tcW w:w="3750" w:type="dxa"/>
            <w:shd w:val="clear" w:color="auto" w:fill="auto"/>
            <w:tcMar>
              <w:top w:w="100" w:type="dxa"/>
              <w:left w:w="100" w:type="dxa"/>
              <w:bottom w:w="100" w:type="dxa"/>
              <w:right w:w="100" w:type="dxa"/>
            </w:tcMar>
          </w:tcPr>
          <w:p w14:paraId="130F9CC2" w14:textId="77777777" w:rsidR="00A73897" w:rsidRPr="007F763B" w:rsidRDefault="0024413B">
            <w:pPr>
              <w:widowControl w:val="0"/>
              <w:pBdr>
                <w:top w:val="nil"/>
                <w:left w:val="nil"/>
                <w:bottom w:val="nil"/>
                <w:right w:val="nil"/>
                <w:between w:val="nil"/>
              </w:pBdr>
              <w:spacing w:line="240" w:lineRule="auto"/>
              <w:rPr>
                <w:sz w:val="20"/>
                <w:szCs w:val="20"/>
              </w:rPr>
            </w:pPr>
            <w:r w:rsidRPr="007F763B">
              <w:rPr>
                <w:sz w:val="18"/>
                <w:szCs w:val="18"/>
              </w:rPr>
              <w:t>CRM-база, есть ли возможность предоставить доступы? Или делиться выгрузками?</w:t>
            </w:r>
          </w:p>
        </w:tc>
        <w:tc>
          <w:tcPr>
            <w:tcW w:w="6305" w:type="dxa"/>
            <w:shd w:val="clear" w:color="auto" w:fill="auto"/>
            <w:tcMar>
              <w:top w:w="100" w:type="dxa"/>
              <w:left w:w="100" w:type="dxa"/>
              <w:bottom w:w="100" w:type="dxa"/>
              <w:right w:w="100" w:type="dxa"/>
            </w:tcMar>
          </w:tcPr>
          <w:p w14:paraId="58FD8309" w14:textId="77777777" w:rsidR="00A73897" w:rsidRPr="007F763B" w:rsidRDefault="0082078C">
            <w:pPr>
              <w:widowControl w:val="0"/>
              <w:pBdr>
                <w:top w:val="nil"/>
                <w:left w:val="nil"/>
                <w:bottom w:val="nil"/>
                <w:right w:val="nil"/>
                <w:between w:val="nil"/>
              </w:pBdr>
              <w:spacing w:line="240" w:lineRule="auto"/>
              <w:rPr>
                <w:sz w:val="20"/>
                <w:szCs w:val="20"/>
                <w:lang w:val="ru-RU"/>
              </w:rPr>
            </w:pPr>
            <w:r w:rsidRPr="007F763B">
              <w:rPr>
                <w:sz w:val="20"/>
                <w:szCs w:val="20"/>
                <w:lang w:val="ru-RU"/>
              </w:rPr>
              <w:t xml:space="preserve">Да, такая возможность есть при подписании </w:t>
            </w:r>
            <w:r w:rsidRPr="007F763B">
              <w:rPr>
                <w:sz w:val="20"/>
                <w:szCs w:val="20"/>
                <w:lang w:val="en-US"/>
              </w:rPr>
              <w:t>NDA</w:t>
            </w:r>
          </w:p>
        </w:tc>
      </w:tr>
      <w:tr w:rsidR="00A73897" w14:paraId="3FD75308" w14:textId="77777777" w:rsidTr="002F3C1F">
        <w:tc>
          <w:tcPr>
            <w:tcW w:w="3750" w:type="dxa"/>
            <w:shd w:val="clear" w:color="auto" w:fill="auto"/>
            <w:tcMar>
              <w:top w:w="100" w:type="dxa"/>
              <w:left w:w="100" w:type="dxa"/>
              <w:bottom w:w="100" w:type="dxa"/>
              <w:right w:w="100" w:type="dxa"/>
            </w:tcMar>
          </w:tcPr>
          <w:p w14:paraId="51B67886" w14:textId="77777777" w:rsidR="00A73897" w:rsidRDefault="0024413B">
            <w:pPr>
              <w:widowControl w:val="0"/>
              <w:pBdr>
                <w:top w:val="nil"/>
                <w:left w:val="nil"/>
                <w:bottom w:val="nil"/>
                <w:right w:val="nil"/>
                <w:between w:val="nil"/>
              </w:pBdr>
              <w:spacing w:line="240" w:lineRule="auto"/>
              <w:rPr>
                <w:sz w:val="20"/>
                <w:szCs w:val="20"/>
              </w:rPr>
            </w:pPr>
            <w:r>
              <w:rPr>
                <w:sz w:val="18"/>
                <w:szCs w:val="18"/>
              </w:rPr>
              <w:t xml:space="preserve">ГЕО - есть ли какие-то пожелания по доп. </w:t>
            </w:r>
            <w:proofErr w:type="spellStart"/>
            <w:r>
              <w:rPr>
                <w:sz w:val="18"/>
                <w:szCs w:val="18"/>
              </w:rPr>
              <w:t>гео</w:t>
            </w:r>
            <w:proofErr w:type="spellEnd"/>
            <w:r>
              <w:rPr>
                <w:sz w:val="18"/>
                <w:szCs w:val="18"/>
              </w:rPr>
              <w:t xml:space="preserve"> или есть ограничения только по тем городам, которые прописаны в брифе (неполный список городов присутствия (возможно, связано с отсутствием доставки карт)</w:t>
            </w:r>
          </w:p>
        </w:tc>
        <w:tc>
          <w:tcPr>
            <w:tcW w:w="6305" w:type="dxa"/>
            <w:shd w:val="clear" w:color="auto" w:fill="auto"/>
            <w:tcMar>
              <w:top w:w="100" w:type="dxa"/>
              <w:left w:w="100" w:type="dxa"/>
              <w:bottom w:w="100" w:type="dxa"/>
              <w:right w:w="100" w:type="dxa"/>
            </w:tcMar>
          </w:tcPr>
          <w:p w14:paraId="603A8398" w14:textId="77777777" w:rsidR="00A73897" w:rsidRPr="0024413B" w:rsidRDefault="0024413B">
            <w:pPr>
              <w:widowControl w:val="0"/>
              <w:pBdr>
                <w:top w:val="nil"/>
                <w:left w:val="nil"/>
                <w:bottom w:val="nil"/>
                <w:right w:val="nil"/>
                <w:between w:val="nil"/>
              </w:pBdr>
              <w:spacing w:line="240" w:lineRule="auto"/>
              <w:rPr>
                <w:sz w:val="20"/>
                <w:szCs w:val="20"/>
                <w:lang w:val="ru-RU"/>
              </w:rPr>
            </w:pPr>
            <w:r>
              <w:rPr>
                <w:sz w:val="20"/>
                <w:szCs w:val="20"/>
                <w:lang w:val="ru-RU"/>
              </w:rPr>
              <w:t>Дополнительных пожеланий нет. Можете использовать города, указанные в брифе.</w:t>
            </w:r>
          </w:p>
        </w:tc>
      </w:tr>
    </w:tbl>
    <w:p w14:paraId="42993A90" w14:textId="77777777" w:rsidR="00A73897" w:rsidRDefault="00A73897">
      <w:pPr>
        <w:rPr>
          <w:sz w:val="20"/>
          <w:szCs w:val="20"/>
        </w:rPr>
      </w:pPr>
    </w:p>
    <w:p w14:paraId="0B688C4B" w14:textId="77777777" w:rsidR="00A73897" w:rsidRDefault="00A73897">
      <w:pPr>
        <w:rPr>
          <w:sz w:val="20"/>
          <w:szCs w:val="20"/>
        </w:rPr>
      </w:pPr>
    </w:p>
    <w:sectPr w:rsidR="00A738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97"/>
    <w:rsid w:val="0024413B"/>
    <w:rsid w:val="002578DD"/>
    <w:rsid w:val="002D359F"/>
    <w:rsid w:val="002F3C1F"/>
    <w:rsid w:val="007B3137"/>
    <w:rsid w:val="007F763B"/>
    <w:rsid w:val="0082078C"/>
    <w:rsid w:val="00A73897"/>
    <w:rsid w:val="00C06A4A"/>
    <w:rsid w:val="00E07F8F"/>
    <w:rsid w:val="00FD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F536"/>
  <w15:docId w15:val="{4EC85A81-4053-3D43-A75B-C206F136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416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Радевич Павел Александрович</cp:lastModifiedBy>
  <cp:revision>7</cp:revision>
  <dcterms:created xsi:type="dcterms:W3CDTF">2024-12-05T08:57:00Z</dcterms:created>
  <dcterms:modified xsi:type="dcterms:W3CDTF">2024-12-06T08:06:00Z</dcterms:modified>
</cp:coreProperties>
</file>