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44" w:rsidRPr="00456652" w:rsidRDefault="00D21B44" w:rsidP="00D21B44">
      <w:pPr>
        <w:pStyle w:val="2"/>
        <w:jc w:val="center"/>
        <w:rPr>
          <w:sz w:val="28"/>
          <w:szCs w:val="28"/>
        </w:rPr>
      </w:pPr>
      <w:r w:rsidRPr="00456652">
        <w:rPr>
          <w:sz w:val="28"/>
          <w:szCs w:val="28"/>
        </w:rPr>
        <w:t xml:space="preserve">Разъяснения положений </w:t>
      </w:r>
      <w:r w:rsidR="00E3181D">
        <w:rPr>
          <w:sz w:val="28"/>
          <w:szCs w:val="28"/>
        </w:rPr>
        <w:t>извещения о проведении запроса котировок</w:t>
      </w:r>
      <w:r w:rsidRPr="00456652">
        <w:rPr>
          <w:sz w:val="28"/>
          <w:szCs w:val="28"/>
        </w:rPr>
        <w:t xml:space="preserve"> в электронной форме</w:t>
      </w:r>
    </w:p>
    <w:tbl>
      <w:tblPr>
        <w:tblW w:w="5513" w:type="pct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4"/>
        <w:gridCol w:w="5954"/>
      </w:tblGrid>
      <w:tr w:rsidR="00D21B44" w:rsidRPr="00C638CC" w:rsidTr="00195647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D21B44" w:rsidRPr="00C638CC" w:rsidRDefault="00D21B44" w:rsidP="00544D0E">
            <w:pPr>
              <w:pStyle w:val="2"/>
              <w:rPr>
                <w:b w:val="0"/>
                <w:sz w:val="22"/>
                <w:szCs w:val="22"/>
              </w:rPr>
            </w:pPr>
            <w:r w:rsidRPr="00C638CC">
              <w:rPr>
                <w:b w:val="0"/>
                <w:sz w:val="22"/>
                <w:szCs w:val="22"/>
              </w:rPr>
              <w:t xml:space="preserve">Общие сведения </w:t>
            </w:r>
            <w:r w:rsidR="00E3181D">
              <w:rPr>
                <w:b w:val="0"/>
                <w:sz w:val="22"/>
                <w:szCs w:val="22"/>
              </w:rPr>
              <w:t xml:space="preserve">о запросе котировок </w:t>
            </w:r>
            <w:r w:rsidRPr="00C638CC">
              <w:rPr>
                <w:b w:val="0"/>
                <w:sz w:val="22"/>
                <w:szCs w:val="22"/>
              </w:rPr>
              <w:t xml:space="preserve"> в электронной форме</w:t>
            </w:r>
          </w:p>
          <w:p w:rsidR="00D21B44" w:rsidRPr="00C638CC" w:rsidRDefault="00D21B44" w:rsidP="00544D0E"/>
        </w:tc>
      </w:tr>
      <w:tr w:rsidR="00D21B44" w:rsidRPr="00FB2D16" w:rsidTr="00031F28"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B44" w:rsidRPr="00FB2D16" w:rsidRDefault="00D21B44" w:rsidP="000E397A">
            <w:pPr>
              <w:jc w:val="center"/>
              <w:rPr>
                <w:sz w:val="23"/>
                <w:szCs w:val="23"/>
              </w:rPr>
            </w:pPr>
            <w:r w:rsidRPr="00FB2D16">
              <w:rPr>
                <w:sz w:val="23"/>
                <w:szCs w:val="23"/>
              </w:rPr>
              <w:t>Номер извещения</w:t>
            </w:r>
          </w:p>
        </w:tc>
        <w:tc>
          <w:tcPr>
            <w:tcW w:w="2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B44" w:rsidRPr="005038C8" w:rsidRDefault="00E3181D" w:rsidP="004B2324">
            <w:pPr>
              <w:ind w:left="128" w:right="268"/>
              <w:jc w:val="both"/>
              <w:rPr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32110706921</w:t>
            </w:r>
          </w:p>
        </w:tc>
      </w:tr>
      <w:tr w:rsidR="00D21B44" w:rsidRPr="00FB2D16" w:rsidTr="00031F28">
        <w:trPr>
          <w:trHeight w:val="887"/>
        </w:trPr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B44" w:rsidRPr="00FB2D16" w:rsidRDefault="00D21B44" w:rsidP="00544D0E">
            <w:pPr>
              <w:pStyle w:val="2"/>
              <w:rPr>
                <w:b w:val="0"/>
                <w:sz w:val="23"/>
                <w:szCs w:val="23"/>
              </w:rPr>
            </w:pPr>
            <w:r w:rsidRPr="00FB2D16">
              <w:rPr>
                <w:b w:val="0"/>
                <w:sz w:val="23"/>
                <w:szCs w:val="23"/>
              </w:rPr>
              <w:t xml:space="preserve">Наименование </w:t>
            </w:r>
            <w:r w:rsidR="00E3181D">
              <w:rPr>
                <w:b w:val="0"/>
                <w:sz w:val="23"/>
                <w:szCs w:val="23"/>
              </w:rPr>
              <w:t>запроса котировок</w:t>
            </w:r>
            <w:r w:rsidRPr="00FB2D16">
              <w:rPr>
                <w:b w:val="0"/>
                <w:sz w:val="23"/>
                <w:szCs w:val="23"/>
              </w:rPr>
              <w:t xml:space="preserve"> в электронной форме</w:t>
            </w:r>
          </w:p>
          <w:p w:rsidR="00D21B44" w:rsidRPr="00FB2D16" w:rsidRDefault="00D21B44" w:rsidP="00544D0E">
            <w:pPr>
              <w:ind w:right="141"/>
              <w:rPr>
                <w:sz w:val="23"/>
                <w:szCs w:val="23"/>
              </w:rPr>
            </w:pPr>
          </w:p>
        </w:tc>
        <w:tc>
          <w:tcPr>
            <w:tcW w:w="2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B44" w:rsidRPr="005038C8" w:rsidRDefault="00E3181D" w:rsidP="004B2324">
            <w:pPr>
              <w:ind w:left="128" w:right="268"/>
              <w:jc w:val="both"/>
              <w:rPr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Поставка очков виртуальной реальности</w:t>
            </w:r>
          </w:p>
        </w:tc>
      </w:tr>
    </w:tbl>
    <w:p w:rsidR="00D21B44" w:rsidRPr="00FB2D16" w:rsidRDefault="00D21B44" w:rsidP="00D21B44">
      <w:pPr>
        <w:rPr>
          <w:sz w:val="23"/>
          <w:szCs w:val="23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3824"/>
        <w:gridCol w:w="5979"/>
      </w:tblGrid>
      <w:tr w:rsidR="00D21B44" w:rsidRPr="00FB2D16" w:rsidTr="00195647">
        <w:tc>
          <w:tcPr>
            <w:tcW w:w="534" w:type="dxa"/>
            <w:shd w:val="clear" w:color="auto" w:fill="auto"/>
            <w:vAlign w:val="center"/>
          </w:tcPr>
          <w:p w:rsidR="00D21B44" w:rsidRPr="00FB2D16" w:rsidRDefault="00D21B44" w:rsidP="00544D0E">
            <w:pPr>
              <w:pStyle w:val="a3"/>
              <w:tabs>
                <w:tab w:val="left" w:pos="1701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FB2D16">
              <w:rPr>
                <w:b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1B44" w:rsidRPr="00FB2D16" w:rsidRDefault="00D21B44" w:rsidP="00544D0E">
            <w:pPr>
              <w:pStyle w:val="a3"/>
              <w:tabs>
                <w:tab w:val="left" w:pos="1701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FB2D16">
              <w:rPr>
                <w:b/>
                <w:color w:val="000000"/>
                <w:sz w:val="23"/>
                <w:szCs w:val="23"/>
              </w:rPr>
              <w:t>Запрос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D21B44" w:rsidRPr="00FB2D16" w:rsidRDefault="00D21B44" w:rsidP="00544D0E">
            <w:pPr>
              <w:pStyle w:val="a3"/>
              <w:tabs>
                <w:tab w:val="left" w:pos="1701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FB2D16">
              <w:rPr>
                <w:b/>
                <w:color w:val="000000"/>
                <w:sz w:val="23"/>
                <w:szCs w:val="23"/>
              </w:rPr>
              <w:t>Ответ Заказчика</w:t>
            </w:r>
          </w:p>
        </w:tc>
      </w:tr>
      <w:tr w:rsidR="00D21B44" w:rsidRPr="00171336" w:rsidTr="00195647">
        <w:trPr>
          <w:trHeight w:val="274"/>
        </w:trPr>
        <w:tc>
          <w:tcPr>
            <w:tcW w:w="534" w:type="dxa"/>
            <w:shd w:val="clear" w:color="auto" w:fill="auto"/>
          </w:tcPr>
          <w:p w:rsidR="00D21B44" w:rsidRPr="00171336" w:rsidRDefault="00D21B44" w:rsidP="00D21B44">
            <w:pPr>
              <w:pStyle w:val="a3"/>
              <w:numPr>
                <w:ilvl w:val="0"/>
                <w:numId w:val="1"/>
              </w:numPr>
              <w:tabs>
                <w:tab w:val="left" w:pos="170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D21B44" w:rsidRPr="00171336" w:rsidRDefault="00A91C96" w:rsidP="005038C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171336">
              <w:rPr>
                <w:color w:val="000000"/>
                <w:shd w:val="clear" w:color="auto" w:fill="FFFFFF"/>
              </w:rPr>
              <w:t>Уважаемый заказчик!</w:t>
            </w:r>
            <w:r w:rsidRPr="00171336">
              <w:rPr>
                <w:color w:val="000000"/>
              </w:rPr>
              <w:br/>
            </w:r>
            <w:r w:rsidRPr="00171336">
              <w:rPr>
                <w:color w:val="000000"/>
                <w:shd w:val="clear" w:color="auto" w:fill="FFFFFF"/>
              </w:rPr>
              <w:t>1) В документации у Вас установлены требования к сроку годности (службы) / Гарантийного срока. Просьба разъяснить – здесь подразумевается срок годности и/или гарантийный срок?</w:t>
            </w:r>
            <w:r w:rsidRPr="00171336">
              <w:rPr>
                <w:color w:val="000000"/>
              </w:rPr>
              <w:br/>
            </w:r>
            <w:r w:rsidRPr="00171336">
              <w:rPr>
                <w:color w:val="000000"/>
                <w:shd w:val="clear" w:color="auto" w:fill="FFFFFF"/>
              </w:rPr>
              <w:t>Ведь срок годности устанавливается к скоропортящимся товарам, таким как продукты питания, лекарственные препараты и пр.</w:t>
            </w:r>
            <w:r w:rsidRPr="00171336">
              <w:rPr>
                <w:color w:val="000000"/>
              </w:rPr>
              <w:br/>
            </w:r>
            <w:proofErr w:type="gramStart"/>
            <w:r w:rsidRPr="00171336">
              <w:rPr>
                <w:color w:val="000000"/>
                <w:shd w:val="clear" w:color="auto" w:fill="FFFFFF"/>
              </w:rPr>
              <w:t>А в отношении закупаемого товара неприменимо понятие срок годности, т.к. сам производитель не дает такого срока, а только гарантийный срок.</w:t>
            </w:r>
            <w:r w:rsidRPr="00171336">
              <w:rPr>
                <w:color w:val="000000"/>
              </w:rPr>
              <w:br/>
            </w:r>
            <w:r w:rsidRPr="00171336">
              <w:rPr>
                <w:color w:val="000000"/>
              </w:rPr>
              <w:br/>
            </w:r>
            <w:r w:rsidRPr="00171336">
              <w:rPr>
                <w:color w:val="000000"/>
                <w:shd w:val="clear" w:color="auto" w:fill="FFFFFF"/>
              </w:rPr>
              <w:t>2) В п. 5.8, 5.9 и 5.10 у вас написаны условия по ответственному хранению товара, в том числе «Поставщик оплачивает документально-подтвержденные расходы по ответственному хранению Заказчику за каждые календарные сутки до момента обратной транспортировки Товара (вывоза Товара со склада</w:t>
            </w:r>
            <w:proofErr w:type="gramEnd"/>
            <w:r w:rsidRPr="00171336">
              <w:rPr>
                <w:color w:val="000000"/>
                <w:shd w:val="clear" w:color="auto" w:fill="FFFFFF"/>
              </w:rPr>
              <w:t>/помещения Заказчика)</w:t>
            </w:r>
            <w:proofErr w:type="gramStart"/>
            <w:r w:rsidRPr="00171336">
              <w:rPr>
                <w:color w:val="000000"/>
                <w:shd w:val="clear" w:color="auto" w:fill="FFFFFF"/>
              </w:rPr>
              <w:t>.»</w:t>
            </w:r>
            <w:proofErr w:type="gramEnd"/>
            <w:r w:rsidRPr="00171336">
              <w:rPr>
                <w:color w:val="000000"/>
              </w:rPr>
              <w:br/>
            </w:r>
            <w:r w:rsidRPr="00171336">
              <w:rPr>
                <w:color w:val="000000"/>
                <w:shd w:val="clear" w:color="auto" w:fill="FFFFFF"/>
              </w:rPr>
              <w:t xml:space="preserve">Но при этом не написано каким образом рассчитываются такие затраты и сколько это будет стоить (руб./час или руб./день или же есть должна быть какая-то формула для расчета). В связи с тем, что в проекте договора предусмотрена плата за ответственное хранение, просьба написать стоимость таких затрат и/или принцип их расчета, т.к. размер этой платы определяется </w:t>
            </w:r>
            <w:r w:rsidRPr="00171336">
              <w:rPr>
                <w:color w:val="000000"/>
                <w:shd w:val="clear" w:color="auto" w:fill="FFFFFF"/>
              </w:rPr>
              <w:lastRenderedPageBreak/>
              <w:t>заказчиком самостоятельно и исполняющая сторона должна быть осведомлена о таких затратах заранее, согласно законодательству РФ.</w:t>
            </w:r>
          </w:p>
        </w:tc>
        <w:tc>
          <w:tcPr>
            <w:tcW w:w="5987" w:type="dxa"/>
            <w:shd w:val="clear" w:color="auto" w:fill="auto"/>
          </w:tcPr>
          <w:p w:rsidR="00171336" w:rsidRPr="00171336" w:rsidRDefault="00A91C96" w:rsidP="00171336">
            <w:bookmarkStart w:id="0" w:name="_GoBack"/>
            <w:bookmarkEnd w:id="0"/>
            <w:r w:rsidRPr="00171336">
              <w:lastRenderedPageBreak/>
              <w:t xml:space="preserve">1. </w:t>
            </w:r>
            <w:proofErr w:type="gramStart"/>
            <w:r w:rsidRPr="00171336">
              <w:t>В соответствии с § 114 Правил русской орфографии и пунктуации (Правила русской орфографии и пунктуации.</w:t>
            </w:r>
            <w:proofErr w:type="gramEnd"/>
            <w:r w:rsidRPr="00171336">
              <w:t xml:space="preserve"> Полный академический справочник</w:t>
            </w:r>
            <w:proofErr w:type="gramStart"/>
            <w:r w:rsidRPr="00171336">
              <w:t xml:space="preserve"> / П</w:t>
            </w:r>
            <w:proofErr w:type="gramEnd"/>
            <w:r w:rsidRPr="00171336">
              <w:t xml:space="preserve">од ред. В. В. Лопатина. — М.: </w:t>
            </w:r>
            <w:proofErr w:type="spellStart"/>
            <w:r w:rsidRPr="00171336">
              <w:t>Эксмо</w:t>
            </w:r>
            <w:proofErr w:type="spellEnd"/>
            <w:r w:rsidRPr="00171336">
              <w:t>, 2006)  знак «косая черта» применяется в функции, близкой к союзам и </w:t>
            </w:r>
            <w:proofErr w:type="gramStart"/>
            <w:r w:rsidRPr="00171336">
              <w:t>и</w:t>
            </w:r>
            <w:proofErr w:type="gramEnd"/>
            <w:r w:rsidRPr="00171336">
              <w:t> или, как знак альтернативности понятий или обозначения единого сложного понятия. Поскольку, как указано в вопросе, срок годности в данном случае не применим к товару, являющемуся предметом закупки</w:t>
            </w:r>
            <w:r w:rsidR="00171336" w:rsidRPr="00171336">
              <w:t>, речь идет о гарантийном сроке.</w:t>
            </w:r>
          </w:p>
          <w:p w:rsidR="005038C8" w:rsidRPr="00171336" w:rsidRDefault="00171336" w:rsidP="00171336">
            <w:pPr>
              <w:rPr>
                <w:rFonts w:eastAsia="Calibri"/>
                <w:color w:val="000000"/>
                <w:lang w:eastAsia="en-US"/>
              </w:rPr>
            </w:pPr>
            <w:r w:rsidRPr="00171336">
              <w:t xml:space="preserve">2. </w:t>
            </w:r>
            <w:r w:rsidR="00A91C96" w:rsidRPr="00171336">
              <w:t xml:space="preserve"> </w:t>
            </w:r>
            <w:r w:rsidRPr="00171336">
              <w:t xml:space="preserve">Заказчик не взимает вознаграждение за хранение в том смысле, как это установлено ст. 896 Гражданского кодекса Российской Федерации. Как указано в п. 5.8. проекта договора </w:t>
            </w:r>
            <w:r w:rsidRPr="00171336">
              <w:rPr>
                <w:rFonts w:eastAsia="SimSun"/>
              </w:rPr>
              <w:t xml:space="preserve">Поставщик оплачивает документально-подтвержденные расходы по ответственному хранению Заказчику за каждые календарные сутки, т.е. возмещает расходы за хранение в соответствии со ст. 897 Гражданского кодекса Российской Федерации. Поскольку такие расходы должны быть документально подтверждены, рассчитать их заранее или установить формулу расчета не возможно, так как не </w:t>
            </w:r>
            <w:proofErr w:type="gramStart"/>
            <w:r w:rsidRPr="00171336">
              <w:rPr>
                <w:rFonts w:eastAsia="SimSun"/>
              </w:rPr>
              <w:t>известно</w:t>
            </w:r>
            <w:proofErr w:type="gramEnd"/>
            <w:r w:rsidRPr="00171336">
              <w:rPr>
                <w:rFonts w:eastAsia="SimSun"/>
              </w:rPr>
              <w:t xml:space="preserve"> какие именно расходы в конкретном случае понесет Заказчик в связи с хранением.</w:t>
            </w:r>
          </w:p>
        </w:tc>
      </w:tr>
    </w:tbl>
    <w:p w:rsidR="000D5866" w:rsidRDefault="000D5866"/>
    <w:sectPr w:rsidR="000D5866" w:rsidSect="0019564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32315"/>
    <w:multiLevelType w:val="hybridMultilevel"/>
    <w:tmpl w:val="985EB592"/>
    <w:lvl w:ilvl="0" w:tplc="DE32B0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067EB"/>
    <w:multiLevelType w:val="hybridMultilevel"/>
    <w:tmpl w:val="3B4C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D21B44"/>
    <w:rsid w:val="00031F28"/>
    <w:rsid w:val="00050655"/>
    <w:rsid w:val="0005583F"/>
    <w:rsid w:val="000D5866"/>
    <w:rsid w:val="000E397A"/>
    <w:rsid w:val="00171336"/>
    <w:rsid w:val="00195647"/>
    <w:rsid w:val="001B72B7"/>
    <w:rsid w:val="001E13E5"/>
    <w:rsid w:val="00255198"/>
    <w:rsid w:val="00285CF5"/>
    <w:rsid w:val="002F2325"/>
    <w:rsid w:val="00303F14"/>
    <w:rsid w:val="00326AEB"/>
    <w:rsid w:val="00354897"/>
    <w:rsid w:val="003564A3"/>
    <w:rsid w:val="004B2324"/>
    <w:rsid w:val="004E7BFA"/>
    <w:rsid w:val="005038C8"/>
    <w:rsid w:val="006114CA"/>
    <w:rsid w:val="00662E86"/>
    <w:rsid w:val="00665BA6"/>
    <w:rsid w:val="006F0BE3"/>
    <w:rsid w:val="007503BF"/>
    <w:rsid w:val="00826454"/>
    <w:rsid w:val="00856C75"/>
    <w:rsid w:val="0089619F"/>
    <w:rsid w:val="0091143E"/>
    <w:rsid w:val="009B777A"/>
    <w:rsid w:val="009D03F7"/>
    <w:rsid w:val="00A11B60"/>
    <w:rsid w:val="00A3318E"/>
    <w:rsid w:val="00A91C96"/>
    <w:rsid w:val="00AA6CE7"/>
    <w:rsid w:val="00AB02F0"/>
    <w:rsid w:val="00B433B9"/>
    <w:rsid w:val="00D21B44"/>
    <w:rsid w:val="00E3181D"/>
    <w:rsid w:val="00FB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21B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B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21B4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21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Виктория Бовиковна</dc:creator>
  <cp:lastModifiedBy>a.slisarenko</cp:lastModifiedBy>
  <cp:revision>3</cp:revision>
  <dcterms:created xsi:type="dcterms:W3CDTF">2021-10-11T13:39:00Z</dcterms:created>
  <dcterms:modified xsi:type="dcterms:W3CDTF">2021-10-12T07:43:00Z</dcterms:modified>
</cp:coreProperties>
</file>